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493</w:t>
      </w:r>
    </w:p>
    <w:p>
      <w:r>
        <w:t>Bundesgericht (BGE), 1968-10-14, DE</w:t>
      </w:r>
    </w:p>
    <w:p>
      <w:r>
        <w:rPr>
          <w:b/>
        </w:rPr>
        <w:t xml:space="preserve">Quelle: </w:t>
      </w:r>
      <w:r>
        <w:t>https://mcp.opencaselaw.ch/entscheid/bge_113 II 493</w:t>
      </w:r>
    </w:p>
    <w:p>
      <w:r>
        <w:t>FR: ATF 113 II 493</w:t>
      </w:r>
    </w:p>
    <w:p>
      <w:r>
        <w:t>IT: DTF 113 II 493</w:t>
      </w:r>
    </w:p>
    <w:p>
      <w:pPr>
        <w:pStyle w:val="Heading2"/>
      </w:pPr>
      <w:r>
        <w:t>Regeste</w:t>
      </w:r>
    </w:p>
    <w:p>
      <w:r>
        <w:t>Regeste Bäuerliches Erbrecht; Integralzuweisung (Art. 620 ZGB). Die Integralzuweisung eines bäuerlichen Heimwesens ist ausgeschlossen, wenn sich dieses in verschiedenen Erbmassen befindet (Bestätigung der Rechtsprechung). Kann eine Ausnahme zugelassen werden, wenn die Erben identisch sind? Frage offengelassen, da die Integralzuweisung im vorliegenden Fall schon deswegen ausgeschlossen ist, weil in einem der beiden Erbfälle noch die Liquidation einer einfachen Gesellschaft ansteht, die nicht nach den Grundsätzen des bäuerlichen Erbrechts abgewickelt werden kann (E. 3).</w:t>
      </w:r>
    </w:p>
    <w:p>
      <w:pPr>
        <w:pStyle w:val="Heading2"/>
      </w:pPr>
      <w:r>
        <w:t>Erwägungen</w:t>
      </w:r>
    </w:p>
    <w:p>
      <w:r>
        <w:rPr>
          <w:b/>
        </w:rPr>
        <w:t>E. 2</w:t>
      </w:r>
    </w:p>
    <w:p>
      <w:r>
        <w:t>a) Die Liegenschaft Koster-Karlonis stand ursprünglich im Gesamteigentum der Brüder Franz Josef und Emil Manser. Die Vorinstanz hat hierzu festgehalten, die Brüder hätten eine einfache Gesellschaft gebildet. Diese Feststellung stützt sich auf den öffentlich beurkundeten Kaufvertrag vom 6. November 1937, wonach die Käufer "zu diesem Zwecke gemäss dem 23. Titel (Art. 530/551) des OR eine einfache Gesellschaft bilden". Im angefochtenen Urteil findet sich keine Feststellung darüber, dass der wirkliche BGE 113 II 493 S. 496 Wille der Käufer hievon abgewichen wäre. Angesichts des klaren Wortlautes der Abrede ist daher die Auffassung der Vorinstanz in keiner Weise zu beanstanden (vgl. BGE 96 II 334 ff.). b) Beim Tode von Emil Manser im Jahre 1965 änderte sich die Rechtszuständigkeit an der Liegenschaft. Nach den verbindlichen Feststellungen der Vorinstanz bestand keine Abrede, die Gesellschaft nach dem Tode eines Gesellschafters weiterzuführen. Ebensowenig sei zwischen dem überlebenden Gesellschafter und den übrigen Erben die Fortführung beschlossen oder stillschweigend in diesem Sinne gehandelt worden. Es ist daher davon auszugehen, dass die einfache Gesellschaft mit dem Tode von Emil Manser im Jahre 1965 gemäss Art. 545 Ziff. 2 OR aufgelöst worden ist. Eine Liquidation des Gesellschaftsvermögens unterblieb in der Folge indessen ebenso wie eine diesbezügliche Erbteilung. Nachdem die Vorinstanz mit rechtskräftigem Urteil vom 14. Oktober 1968 die Integralzuweisung der Liegenschaft zum Ertragswert an Franz Josef Manser abgelehnt hatte, erklärten sich die Erben im Erbteilungsvertrag vom 24. Februar 1969 vielmehr damit einverstanden, dass die Versteigerung der Liegenschaft Koster-Karlonis unterbleibe und Franz Josef Manser die Liegenschaft bis zu seinem Ableben bewirtschaften und nutzen könne. Rechtlich zerfiel die Liegenschaft somit in den Gesamteigentumsanteil von Franz Josef Manser und denjenigen der Erbengemeinschaft, an dem Franz Josef Manser wiederum als Erbe beteiligt war. Die Annahme, die beiden Gesamteigentumsanteile seien zu einer rechtlichen Einheit verschmolzen, entbehrt angesichts der unterschiedlichen Rechtszuständigkeit an den beiden Gesamteigentumsanteilen jeder Grundlage.</w:t>
      </w:r>
    </w:p>
    <w:p>
      <w:r>
        <w:rPr>
          <w:b/>
        </w:rPr>
        <w:t>E. 3</w:t>
      </w:r>
    </w:p>
    <w:p>
      <w:r>
        <w:t>Zu prüfen bleibt, ob ein Erbe aufgrund des bäuerlichen Erbrechts die ungeteilte Zuweisung der Liegenschaft zum Ertragswert verlangen kann, wenn ein landwirtschaftliches Heimwesen wie hier zwei verschiedenen Erbmassen angehört. a) Bisher ist vom Bundesgericht die Anwendung des bäuerlichen Erbrechts grundsätzlich abgelehnt worden, wenn sich das streitige Heimwesen nicht im Alleineigentum des Erblassers befunden hat ( BGE 96 II 328 f.; BGE 83 II 515 f., BGE 76 II 23 f.). Zur Begründung ist angeführt worden, das ZGB kenne keinen gemeinschaftlichen Erbgang und keine gemeinsame Erbteilung beim Tode mehrerer Personen, sondern nur eine Nachfolge in bezug auf Einzelpersonen. Es könne daher kein Erbe dazu gezwungen werden, in eine Teilung einzuwilligen, bei der die von verschiedenen Erbschaften BGE 113 II 493 S. 497 herrührenden Güter nicht als verschiedene Erbmassen behandelt würden. Art. 620 ZGB könne nicht dazu dienen, eine rechtliche Einheit zu bewirken, die vor dem Erbgang nicht bestanden habe. In einem solchen Fall sei schon vor dem Erbgang eine Mehrheit von Berechtigten vorhanden, die eine Aufhebung der bisherigen Bewirtschaftungseinheit erwirken könnten. Die Rechte des Erblassers reichten also vor seinem Tode nicht aus, die Einheit des Betriebes zu gewährleisten. Demzufolge liege die Gefahr der Zerstückelung nicht in der Teilung der Erbschaft als solcher begründet, weshalb die ratio des Art. 620 Abs. 1 ZGB entfalle. b) Die überwiegende Lehre hält diese Rechtsprechung für das geltende Recht dem Grundsatz nach für zutreffend (ohne Einschränkung: TUOR/PICENONI, Berner Kommentar, N 8 f. und 15 zu Art. 620 ZGB ). ESCHER (Zürcher Kommentar, N 25 zu Art. 620 ZGB ) weist darauf hin, dass die Situation in jedem Fall unbefriedigend sei, wie auch vorgegangen werde. Verweigere man die ungeteilte Übernahme eines Heimwesens mangels rechtlicher Einheit, so werde eine bisher bestehende wirtschaftliche Einheit vielleicht für immer zerstört. Gestatte man sie, so verstosse man gegen die unausgesprochene, aber selbstverständliche gesetzliche Voraussetzung, wonach das Gewerbe für einen ungeteilten Übergang aus dem in Frage stehenden Nachlass stammen müsse. Obwohl eine ungeteilte Zuweisung in solchen Fällen theoretisch nur schwer zu begründen sei (ESCHER, a.a.O.), fordern verschiedene Autoren wenigstens für bestimmte Fälle eine Ausnahme. Sterbe einer von zwei gemeinschaftlichen Eigentümern und befinde sich der andere unter seinen Erben, so sei dieser sonst schlechter gestellt, als wenn das Gewerbe im Alleineigentum des Erblassers gestanden hätte und er demzufolge nur Erbe und nicht zusätzlich Eigentümer wäre; denn als blosser Erbe könnte er ohne weiteres das Zuweisungsbegehren stellen. Diese Situation könne vor allem unter Geschwistern oder Ehegatten eintreten, denen das fragliche Gewerbe gemeinsam gehört habe (ESCHER, a.a.O., N 25 f.; NEUKOMM/CZETTLER, Das bäuerliche Erbrecht, 5. Aufl., S. 95-100; PIOTET, Schweizerisches Privatrecht, Bd. IV/II, S. 1034-1036; STEIGER, Zur Frage des Anwendungsbereiches und der Geltungskraft des bäuerlichen Erbrechts sowie der allgemeinen Voraussetzungen der Integralzuweisung eines landwirtschaftlichen Gewerbes, Diss. Bern 1966, S. 21 ff., insbesondere 27 f.; STUDER, Die Integralzuweisung landwirtschaftlicher Gewerbe nach der Revision des bäuerlichen Zivilrechts von 1972, 2. Aufl., S. 124 f.). In diesen Fällen BGE 113 II 493 S. 498 entspreche die ungeteilte Zuweisung dem Sinn und Geist des bäuerlichen Erbrechts besser. Das Bundesgericht hat freilich in BGE 45 II 632 E. 2 auch in einem solchen Fall die ungeteilte Zuweisung abgelehnt und darauf hingewiesen, dass sich der angestrebte Erfolg nur erreichen lasse, wenn der Eigentumsanteil des Erblassers dem überlebenden Gesamteigentümer und Miterben zugewiesen werde. Die Zuweisung an einen der übrigen Miterben sei hierzu ungeeignet, da diese den überlebenden Gesamteigentümer nicht zwingen könnten, seinen Anteil abzutreten. Es bestehe daher die Gefahr, dass diesem ein Vorrecht gegenüber den anderen Miterben gegeben werden müsse. Ob an dieser Rechtsprechung festzuhalten sei, ist hier indessen nicht zu entscheiden, da gar kein Fall eines überlebenden Gesamt- oder Miteigentümers zu beurteilen ist, der zugleich Erbe ist. Im vorliegenden Fall sind vielmehr beide Gesamteigentümer verstorben. Die beiden Ansprecher sind blosse Miterben, wenn auch mit Bezug auf beide Nachlässe der ursprünglichen Gesamteigentümer. c) In BGE 75 II 199 ff. E. 2 liess das Bundesgericht die Anwendung des bäuerlichen Erbrechts zu, obwohl sich das landwirtschaftliche Heimwesen an sich in zwei Erbmassen befunden hatte. In jenem Fall wurde die Erbengemeinschaft nach dem Tode des ersten Ehegatten nicht aufgelöst, und nach dem Tode des zweiten erachtete es das Bundesgericht als zulässig, dass das bisher in der Erbengemeinschaft verbliebene Gewerbe einem Erben des erstverstorbenen oder einem Erben des zweitverstorbenen Ehegatten zugewiesen werde. Jener Fall gleicht dem vorliegenden somit insofern, als eine erste Erbengemeinschaft vorerst nicht aufgelöst worden ist und über die Integralzuweisung erst nach dem Tode eines Erben zu befinden ist. Daraus kann jedoch nichts für den vorliegenden Fall abgeleitet werden. Im Unterschied zu hier befand sich das landwirtschaftliche Heimwesen nämlich im Alleineigentum des Erstversterbenden, weshalb das Heimwesen als solches in den ersten Nachlass fiel. Die Besonderheit jenes Falles liegt somit einzig darin, dass das bäuerliche Erbrecht nach dem Tode eines Miterben weiterhin und auch in bezug auf Erbeserben für anwendbar erklärt worden ist, die nach dem Tode eines Miterben dessen Platz in einer fortgesetzten Erbengemeinschaft einnehmen. Im vorliegenden Fall besassen der Erst- und der Zweitversterbende zu Lebzeiten hingegen je einen Gesamteigentumsanteil am betreffenden Heimwesen, so dass beim Tode des ersten nicht das ganze Heimwesen in seinen Nachlass fiel, sondern nur der betreffende BGE 113 II 493 S. 499 Gesamteigentumsanteil. Nach dem Tode des zweiten Gesamteigentümers ist es daher nicht möglich, in bezug auf das Heimwesen durch den Eintritt von Erbeserben in die Erbengemeinschaft die Rechtszuständigkeit einer einzigen Erbengemeinschaft zu begründen. Das Eigentum am Heimwesen ist und bleibt vielmehr auf zwei Nachlässe verteilt. Dass die Erben in beiden Fällen - nach dem Vorversterben anderer - zufälligerweise identisch sind, vermag daran nichts zu ändern. d) NEUKOMM/CZETTLER (a.a.O., S. 99 f.) treten nun allerdings auch in einem solchen Fall dafür ein, das bäuerliche Erbrecht anzuwenden. Die erwähnte strenge Auslegung könne dem Willen des Gesetzgebers nicht entsprechen. Im Sinne der höheren Zielsetzung von Art. 620 ZGB sei die Betriebseinheit aufrechtzuerhalten. Durch die Revision des Art. 620 Abs. 2 ZGB im Jahre 1972 sei zudem eine neue Lage entstanden. Der revidierte Art. 620 Abs. 2 ZGB bestimmt in der Tat, dass zur Beurteilung, ob eine ausreichende landwirtschaftliche Existenz gegeben sei, Anteile an Liegenschaften und für längere Dauer mitbewirtschaftete Liegenschaften berücksichtigt werden können. Diese Gesetzesvorschrift erlaubt somit, bei der Beurteilung der ausreichenden landwirtschaftlichen Existenz als einer der objektiven Voraussetzungen der Integralzuweisung auch Anteile an Liegenschaften mitzuberücksichtigen, die vom Erblasser oder vom Übernehmer ( BGE 104 II 257 ; BGE 107 II 321 ) während längerer Zeit mitbewirtschaftet worden sind. Dies hilft den Ansprechern im vorliegenden Fall jedoch nicht weiter, da die Frage, ob das Gewerbe eine ausreichende landwirtschaftliche Existenz gewährleiste, überhaupt nicht bestritten ist. Vorliegend geht es einzig um das Problem, dass die Integralzuweisung nach bisheriger Rechtsprechung zum vornherein ausgeschlossen ist, wenn sich in der Erbmasse nicht ein landwirtschaftliches Gewerbe als solches befindet, sondern nur ein Eigentumsanteil. Dieser Umstand war der vorberatenden Kommission für die Revision des bäuerlichen Erbrechts bekannt, die denn auch eine entsprechende Änderung von Art. 620 Abs. 1 ZGB vorschlug. Auf Vorschlag des EJPD sollte diese Problematik indessen nicht durch einen besonderen Satz in Absatz 1, sondern in Absatz 2 geregelt werden. Dieser Wille kommt nun aber in der jetzigen Fassung von Art. 620 Abs. 2 ZGB in keiner Weise zum Ausdruck. Das Problem der rechtlichen Einheit des Heimwesens wird hier, wie bereits erwähnt, nur am Rande im Zusammenhang mit der ausreichenden BGE 113 II 493 S. 500 landwirtschaftlichen Existenz berührt (vgl. hierzu STUDER, a.a.O., S. 120-125). Angesichts der mangelnden gesetzlichen Grundlage fehlt es aber an der Handhabe, dem bäuerlichen Erbrecht entsprechend seinem agrarpolitischen Zweck gegenüber dem allgemeinen Erbrecht, das allen Erben einen Anspruch auf Gleichbehandlung gibt, den Vorrang zu geben. e) Ob eine gesetzliche Lücke anzunehmen ist, die durch die Rechtsprechung im Sinne einer Erweiterung des Anwendungsbereichs des bäuerlichen Erbrechts gefüllt werden kann, wie es von LIVER ins Auge gefasst worden ist (Rechtsgutachten vom 5./8. April 1974, zitiert bei STUDER (a.a.O., S. 121-123), ist im vorliegenden Fall nicht zu entscheiden (verneinend: STUDER, a.a.O., S. 125). Denn selbst wenn eine solche Lücke angenommen würde, könnte das bäuerliche Erbrecht hier nicht angewendet werden. Im ersten der beiden Erbfälle steht nämlich noch die Liquidation der einfachen Gesellschaft an. Eine solche Liquidation schliesst eine sachenrechtliche Liquidation aus ( BGE 93 II 391 f.) und kann auch bei einer erbrechtlichen Auseinandersetzung nicht ausser acht gelassen werden. Es würde hier somit nicht genügen, zuzulassen, dass mit Hilfe des bäuerlichen Erbrechts die wirtschaftliche Einheit eines Heimwesens in eine rechtliche Einheit übergeführt werden kann, wenn sich Eigentumsanteile des fraglichen Heimwesens in verschiedenen Erbmassen mit identischen Erben befinden. Eine Integralzuweisung wäre vielmehr nur dann möglich, wenn auch die Liquidation der einfachen Gesellschaft nach den Grundsätzen des bäuerlichen Erbrechts erfolgen könnte. Dies ist indessen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